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373</w:t>
      </w:r>
    </w:p>
    <w:p>
      <w:r>
        <w:t>Bundesgericht (BGE), 2009-07-24, DE</w:t>
      </w:r>
    </w:p>
    <w:p>
      <w:r>
        <w:rPr>
          <w:b/>
        </w:rPr>
        <w:t xml:space="preserve">Quelle: </w:t>
      </w:r>
      <w:r>
        <w:t>https://mcp.opencaselaw.ch/entscheid/bge_135 V 373</w:t>
      </w:r>
    </w:p>
    <w:p>
      <w:r>
        <w:t>FR: ATF 135 V 373</w:t>
      </w:r>
    </w:p>
    <w:p>
      <w:r>
        <w:t>IT: DTF 135 V 373</w:t>
      </w:r>
    </w:p>
    <w:p>
      <w:pPr>
        <w:pStyle w:val="Heading2"/>
      </w:pPr>
      <w:r>
        <w:t>Regeste</w:t>
      </w:r>
    </w:p>
    <w:p>
      <w:r>
        <w:t>Regeste Art. 56a Abs. 1, Art. 73 Abs. 1 lit. d BVG; sachliche Zuständigkeit; doppelrelevante Tatsachen. Die sachliche Zuständigkeit des Berufsvorsorgegerichts zur Beurteilung einer Rückgriffsklage des Sicherheitsfonds ist bereits gegeben, wenn die zur Begründung des eingeklagten Anspruchs vorgebrachten Tatsachen mit einer gewissen Wahrscheinlichkeit vorliegen (E. 3.4).</w:t>
      </w:r>
    </w:p>
    <w:p>
      <w:pPr>
        <w:pStyle w:val="Heading2"/>
      </w:pPr>
      <w:r>
        <w:t>Erwägungen</w:t>
      </w:r>
    </w:p>
    <w:p>
      <w:r>
        <w:rPr>
          <w:b/>
        </w:rPr>
        <w:t>E. 2</w:t>
      </w:r>
    </w:p>
    <w:p>
      <w:r>
        <w:t>Im Streit liegt, ob der von der Stiftung Sicherheitsfonds BVG eingeklagte, gestützt auf Art. 56a BVG (SR 831.40) geltend gemachte Anspruch in die sachliche Zuständigkeit des Berufsvorsorgegerichts nach Art. 73 BVG fällt.</w:t>
      </w:r>
    </w:p>
    <w:p>
      <w:r>
        <w:rPr>
          <w:b/>
        </w:rPr>
        <w:t>E. 2.1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BGE 135 V 373 S. 375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2.2</w:t>
      </w:r>
    </w:p>
    <w:p>
      <w:r>
        <w:t>Die Stiftung Sicherheitsfonds BVG leitet den geltend gemachten Anspruch aus Umständen ab, die sich vor dem 31. Dezember 2004 ereignet haben. Anwendbar ist daher die bis zu diesem Zeitpunkt massgebende Fassung von Art. 56a BVG bzw. Art. 11 aSFV 2 ( BGE 135 V 163 E. 5.2 S. 168; vgl. auch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 BGE 135 V 163 E. 5.2 S. 168 mit Hinweisen).</w:t>
      </w:r>
    </w:p>
    <w:p>
      <w:r>
        <w:rPr>
          <w:b/>
        </w:rPr>
        <w:t>E. 2.3</w:t>
      </w:r>
    </w:p>
    <w:p>
      <w:r>
        <w:t>Die Haftung nach Art. 56a BVG bzw. Art. 11 aSFV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 responsables de l'insolvabilité" ( Art. 56a BVG und Art. 11 aSFV 2) bzw. "persone a cui è imputabile l'insolvibilità" ( Art. 56a BVG ) oder "le persone responsabili dell'insolvenza" (Art. 11 aSFV 2). Weitere Haftungsvoraussetzungen werden nicht genannt. Auch ist die dogmatische Natur des Anspruchs (eigenständiger Haftungstatbestand oder Subrogation des Sicherheitsfonds in die Ansprüche der Vorsorgeeinrichtung) in der Lehre umstritten (vgl. einerseits THOMAS GEISER, Haftung für Schäden der BGE 135 V 373 S. 376 Pensionskassen, in: Mélanges en l'honneur de Jean-Louis Duc, 2001, S. 67 ff., 72 f.; KRISTIN M. LÜÖND, Der Sicherheitsfonds BVG, 2004, S. 105 und 108; andererseits RITA TRIGO TRINDADE, Fondations de prévoyance et responsabilité: développements récents, in: Institutions de prévoyance: devoirs et responsabilité civile, 2006, S. 141 ff., 169). So oder so ist entsprechend allgemeinen Grundsätzen des Schadenersatzrechts ein widerrechtliches bzw. pflichtwidriges Verhalten vorauszusetzen ( BGE 130 V 277 E. 3.3 S. 283; GEISER, a.a.O., S. 73 f.), welches zudem gemäss der deutschsprachigen Gesetzesfassung schuldhaft sein muss; dabei genügt jedes Verschulden, mithin auch leichte Fahrlässigkeit (vgl. zu Art. 52 BVG : BGE 128 V 124 E. 4e S. 132). Vorauszusetzen ist ferner ein Schaden sowie ein natürlicher und adäquater Kausalzusammenhang zwischen der Pflichtverletzung und dem Schaden (vgl. BGE 128 V 124 E. 4a S. 127 f. und E. 4f S. 133 zur Haftung gemäss Art. 52 BVG ). Der Schaden besteht darin, dass der Sicherheitsfonds für eine Leistung aufkommen muss, welche an sich durch die entsprechenden Vorsorgeeinrichtungen zu erbringen wäre.</w:t>
      </w:r>
    </w:p>
    <w:p>
      <w:r>
        <w:rPr>
          <w:b/>
        </w:rPr>
        <w:t>E. 2.4</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 BGE 133 III 323 E. 5.1 S. 329 f.; BGE 132 II 305 E. 4.1 S. 317 f., BGE 132 II 449 E. 3.3 S. 457; BGE 123 II 577 E. 4c S. 581). Das gesetzlich geforderte Verhalten kann aus einem Tun bestehen oder aus einem Unterlassen, wenn eine Handlungspflicht besteht, die das Interesse des Geschädigten verfolgt und sich aus einer Schutzvorschrift zu dessen Gunsten ergibt (Garantenstellung; BGE 132 II 305 E. 4.1 S. 317 f.; BGE 123 II 577 E. 4d/ff S. 583 f.). Die Pflichten, die verletzt werden, ergeben sich in erster Linie aus dem Gesetz; für die Organe im Sinne von Art. 52 BVG sind ferner die statutarischen und reglementarischen Pflichten und Vorschriften massgebend, ferner die BGE 135 V 373 S. 377 Weisungen der Aufsichtsbehörden und die Pflichten, die sich aus einem Vertrag ergeben ( BGE 128 V 124 E. 4d S. 129).</w:t>
      </w:r>
    </w:p>
    <w:p>
      <w:r>
        <w:rPr>
          <w:b/>
        </w:rPr>
        <w:t>E. 3.1</w:t>
      </w:r>
    </w:p>
    <w:p>
      <w:r>
        <w:t>Gemäss Art. 73 Abs. 1 BVG bezeichnet jeder Kanton ein Gericht, das als letzte kantonale Instanz über Streitigkeiten zwischen Vorsorgeeinrichtungen, Arbeitgebern und Anspruchsberechtigten entscheidet. Laut Satz 2 dieser Bestimmung (in der Fassung gemäss Ziff. I des Bundesgesetzes vom 3. Oktober 2003 [1. BVG-Revision], in Kraft seit 1. Januar 2005) entscheidet es zudem über Verantwortlichkeitsansprüche nach Art. 52 (lit. c) und über den Rückgriff nach Art. 56a Abs. 1 BVG (lit. d). Das Berufsvorsorgegericht gemäss Art. 73 Abs. 1 Satz 2 BVG ist zuständig zur Beurteilung von Klagen auf Verantwortlichkeit nach Art. 52 BVG sowie auf Rückgriff und Rückforderung nach Art. 56a BVG , auch wenn sich der Sachverhalt wie hier vor dem 1. Januar 1997 verwirklicht hat ( BGE 130 V 279 E. 1.2; BGE 128 V 126 E. 2; SZS 2003 S. 524, B 76/01 und B 77/01; SVR 2006 BVG Nr. 34 S. 131, B 10/05 E. 4.3).</w:t>
      </w:r>
    </w:p>
    <w:p>
      <w:r>
        <w:rPr>
          <w:b/>
        </w:rPr>
        <w:t>E. 3.2</w:t>
      </w:r>
    </w:p>
    <w:p>
      <w:r>
        <w:t>Nach der Rechtsprechung des Bundesgerichts ist bei der Beurteilung der Zuständigkeit auf den von der klagenden Partei eingeklagten Anspruch und dessen Begründung abzustellen ( BGE 122 III 252 E. 3b/bb; BGE 119 II 67 f. E. 2a; je mit Hinweisen). Sofern Anknüpfungspunkt für die Zuständigkeit eine Tatsache darstellt, der auch materiellrechtlich entscheidende Bedeutung zukommt - eine sogenannte doppelrelevante Tatsache -, ist darüber ausnahmsweise nicht im Rahmen der Eintretensfrage, sondern des Sachentscheides (Begründetheit der Klage) zu befinden ( BGE 131 III 157 E. 5.1; BGE 122 III 252 E. 3b/bb mit Hinweisen auf Rechtsprechung und Lehre). Dies wird hauptsächlich mit dem Schutz der beklagten Partei begründet, da die klagende Partei im Falle eines (blossen) Nichteintretensentscheides den Anspruch andernorts wiederum geltend machen könnte ( BGE 131 III 157 E. 5.1; BGE 124 III 386 E. 3; BGE 122 III 252 E. 3b/bb; BGE 121 III 502 E. 6d; Urteil des Bundesgerichts 4P.289/1998 vom 23. März 1999 E. 5; VOGEL/SPÜHLER, Grundriss des Zivilprozessrechts, 8. Aufl. 2006, S. 130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BGE 135 V 373 S. 378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 Für die Anerkennung der Zuständigkeit genügt es, wenn die vorgebrachten Tatsachen, welche sowohl für die Zulässigkeit der Klage als auch für deren materielle Begründetheit erheblich (doppelrelevant) sind, mit einer gewissen Wahrscheinlichkeit vorliegen ( BGE 131 III 157 E. 5.1). Diese im Zivilprozess entwickelten Grundsätze finden nach der Rechtsprechung auch auf den Sozialversicherungsprozess Anwendung (RKUV 2004 S. 241, K 5/03 E. 2.2; Urteile des Eidg. Versicherungsgerichts K 185/00 vom 3. Februar 2003 und B 24/00 vom 30. Oktober 2001, letzteres zusammengefasst in: SZS 2003 S. 135).</w:t>
      </w:r>
    </w:p>
    <w:p>
      <w:r>
        <w:rPr>
          <w:b/>
        </w:rPr>
        <w:t>E. 3.3.1</w:t>
      </w:r>
    </w:p>
    <w:p>
      <w:r>
        <w:t>Das kantonale Gericht verneinte seine sachliche Zuständigkeit mit der Begründung, bei der beklagten Bank handle es sich um eine zivilrechtliche Vertragspartnerin der zahlungsunfähigen Vorsorgeeinrichtung. Die Beziehung zwischen den beiden Prozessparteien sei rein privatrechtlich gewesen. Die Beklagte habe keine Funktion oder Aufgabe im Bereich der beruflichen Vorsorge ausgeübt und sei somit nicht eigentliche Vorsorgebeteiligte. Den Rechtsweg über das Sozialversicherungsgericht auch für gewöhnliche Vertragspartner zu öffnen, könne nicht Sinn und Zweck von Art. 56a Abs. 1 BVG entsprechen. Für die sich stellenden Rechtsfragen fehle es am BVG-rechtlichen Zusammenhang. Eine Klage im Sinne von Art. 73 BVG müsse sich aber zumindest materiell auf die berufliche Vorsorge beziehen (Hinweis auf RIEMER/RIEMER-KAFKA, Das Recht der beruflichen Vorsorge in der Schweiz, 2. Aufl. 2006, S. 162 § 8 Rz. 7 und HANS-ULRICH STAUFFER, Berufliche Vorsorge, 2005, S. 626 Rz. 1650). Andernfalls würde dies dazu führen, dass jede Streitigkeit zwischen einer Vorsorgeeinrichtung und einem Dritten - unabhängig vom betroffenen Rechtsgebiet - vor dem gemäss Art. 73 BGE 135 V 373 S. 379 BVG zuständigen Gericht ausgetragen werden könnte, sobald der Sicherheitsfonds einen Rückgriff habe. Das Kriterium, ob der Sicherheitsfonds einen Rückgriff habe oder nicht, sei eher zufällig und rechtfertige daher nicht, die allgemeine Gerichtsorganisation mit den üblichen Zuständigkeiten zu übergehen. Dies würde dazu führen, dass das gemäss Art. 73 BVG vorgesehene Spezialgericht auch über rechtliche Materien entscheiden müsste, die ihm eher fremd seien und für welche gerade andere Gerichte spezialisiert wären. Eine Eingrenzung müsse auch über den Begriff des Verschuldens an der Zahlungsunfähigkeit der Vorsorgeeinrichtung erfolgen, in dem für dieses Verschulden verlangt werde, dass eine mit der beruflichen Vorsorge zusammenhängende Aufgabe nicht oder schlecht erfüllt werde und dass eine einfache zivilrechtliche Vertragsverletzung nicht ausreiche. Immerhin müsse die in Frage stehende Forderung gemäss dem Wortlaut von Art. 56a Abs. 1 BVG einen kausalen Zusammenhang mit der Zahlungsunfähigkeit der Vorsorgeeinrichtung haben. Auch dies sei hier offensichtlich nicht der Fall. Der klagende Sicherheitsfonds mache Forderungen in der Gesamthöhe von Fr. 119'500.- nebst Zins geltend, währenddem im Konkurs der Vorsorgeeinrichtung ein Gesamtschaden von 6,2 Millionen Franken resultierte. Es könne demnach nicht ernsthaft behauptet werden, die geltend gemachte Forderung sei gegenüber der Beklagten massgeblich kausal gewesen für die Illiquidität der Vorsorgeeinrichtung. Dagegen spreche auch der zeitliche Zusammenhang. Die Zahlungen seien nämlich von 1989 bis 1996 fälschlicherweise - wie die Klägerin geltend mache - an die Arbeitgeberin geleistet worden. Die Arbeitgeberin sei erst im Jahr 1997 liquidiert worden. Schliesslich sei darauf hinzuweisen, dass die Vorsorgeeinrichtung, obwohl sie über die Auszahlung der Zinserträge und Rückzahlungen an die Arbeitgeberin jeweils Meldung erhalten habe, nie bei der Bank gegen dieses Vorgehen opponiert habe. Die Vorsorgeeinrichtung habe alle Bewegungen in ihrer Buchhaltung erfasst, nicht nur die an die Arbeitgeberin bezahlten Zinsen und Rückzahlungen, sondern auch die von der Arbeitgeberin bezahlten Bankspesen. Unter diesen Voraussetzungen die Bank für die eigene Zahlungsunfähigkeit verantwortlich zu machen, gehe doch zu weit. Die gesamten Umstände zeigten klar, dass die Voraussetzung des Verschuldens an der Zahlungsunfähigkeit nicht erfüllt sei.</w:t>
      </w:r>
    </w:p>
    <w:p>
      <w:r>
        <w:rPr>
          <w:b/>
        </w:rPr>
        <w:t>E. 3.3.2</w:t>
      </w:r>
    </w:p>
    <w:p>
      <w:r>
        <w:t>Die Beschwerdeführerin ruft den Beschwerdegrund nach Art. 95 lit. a BGG an, weil der vorinstanzliche Entscheid Art. 56a BGE 135 V 373 S. 380 Abs. 1 und Art. 73 BVG als auch das Verbot der Rechtsverweigerung nach Art. 29 Abs. 1 BV verletze. Nach dem Willen des Gesetzgebers sollte der Sicherheitsfonds ermächtigt werden, Rückgriffsansprüche im einfachen, kostenlosen Verfahren nach Art. 73 Abs. 2 BVG geltend zu machen. Damit sei ein einheitliches Verfahren gewährleistet, womit auch der Prozessökonomie Rechnung getragen werde. Der Sicherheitsfonds solle nicht zusätzlich viel Zeit und Geld für komplizierte Verfahren aufwenden müssen, um seinen Schaden gegenüber den Verantwortlichen geltend machen zu können. Zu Unrecht grenze die Vorinstanz die im Rahmen von Art. 56a BVG passivlegitimierten Personen auf diejenigen ein, deren Verschulden sich auf die Nicht- oder Schlechterfüllung einer mit der beruflichen Vorsorge "direkt" zusammenhängenden Aufgabe beziehe. Die Beschwerdegegnerin habe als mit der Verwaltung von Mitteln der beruflichen Vorsorge betraute juristische Person eine Aufgabe im Bereich der beruflichen Vorsorge gemäss Art. 56a BVG inne. Nach der Rechtsprechung dürfe die Passivlegitimation nicht über das Verschulden eingeschränkt werden (Hinweis auf das Urteil des Eidg. Versicherungsgerichts SVR 2006 BVG Nr. 34 S. 131, B 10/05), wie dies das kantonale Gericht unzulässigerweise getan habe. Auch mit der Verneinung eines Verschuldens im Rahmen der Prüfung der Prozessvoraussetzungen habe die Vorinstanz Art. 73 und Art. 56a Abs. 1 BVG verletzt. Schliesslich stelle die Vorgehensweise des kantonalen Gerichts, verschiedene materielle Fragestellungen (Passivlegitimation, Verschulden, Kausalität) nur marginal und im Rahmen der Prozessvoraussetzungen zu prüfen, eine Rechtsverweigerung im Sinne von Art. 29 Abs. 1 BV dar.</w:t>
      </w:r>
    </w:p>
    <w:p>
      <w:r>
        <w:rPr>
          <w:b/>
        </w:rPr>
        <w:t>E. 3.4</w:t>
      </w:r>
    </w:p>
    <w:p>
      <w:r>
        <w:t>Unbestritten ist, dass der Sicherheitsfonds Leistungen der in Liquidation befindlichen zahlungsunfähigen Vorsorgeeinrichtung sichergestellt hat. Darunter befindet sich auch jener Teil der im Konkurs der Arbeitgeberin ungedeckt gebliebenen Forderungen in Höhe von Fr. 119'500.-, welcher den Überweisungen der Beklagten an die Arbeitgeberin nach Übertragung des Wertschriftendepots auf die Vorsorgeeinrichtung entspricht. Im Umfang der sichergestellten Leistungen hat der Sicherheitsfonds nach Art. 56a Abs. 1 BVG ein Rückgriffsrecht gegenüber Personen, die für die Zahlungsunfähigkeit der Vorsorgeeinrichtung ein Verschulden trifft. Gestützt auf diese Norm hat er denn auch den eingeklagten Anspruch begründet. Da der unter die Haftungsnorm des Art. 56a Abs. 1 BVG fallende haftpflichtige Personenkreis sehr weit gefasst ist (Urteil des Eidg. BGE 135 V 373 S. 381 Versicherungsgerichts SVR 2006 BVG Nr. 34 S. 131, B 10/05 E. 8.1), kommt als passivlegitimierte Beklagte auch eine Bank in Frage, welche - wie hier - Teile des Stiftungsvermögens einer Vorsorgeeinrichtung verwaltet hatte. In einem solchen Fall nimmt die mit der Verwaltung des Vermögens betraute Person eine Aufgabe im Bereich der beruflichen Vorsorge wahr. Da der Sicherheitsfonds in die Schadenersatzforderungen der Vorsorgeeinrichtungen eintritt, kann er sich zur Begründung des widerrechtlichen Verhaltens auf die Verletzung des zwischen der Vorsorgeeinrichtung und der Bank geschlossenen Vertrags berufen (SVR 2008 BVG Nr. 33 S. 135, 9C_92/2007 E. 5.1). Da des Weiteren die Haftung bereits für leichte Fahrlässigkeit besteht (erwähntes Urteil 9C_92/2007 vom 30. April 2008 E. 1.3) und ein Mitverschulden genügt ( BGE 130 V 277 E. 2.1 S. 280), sind die in der Klage vom 28. Dezember 2006 zur Begründung des Rückgriffs nach Art. 56a BVG vorgebrachten Tatsachen mit der für das Eintreten auf die Klage erforderlichen Wahrscheinlichkeit ( BGE 131 III 157 E. 5.1) als gegeben zu betrachten. Der vorinstanzliche Entscheid widerspricht auch dem Grundsatz, dass eine Tatsache, die sowohl für die Zulässigkeit als auch für deren materielle Begründetheit erheblich (doppelrelevant) ist, nach der bundesgerichtlichen Rechtsprechung grundsätzlich erst im Stadium der materiellen Beurteilung zu prüfen ist (E. 3.2 hievor). Gründe für eine ausnahmsweise Prüfung bereits im Eintretensstadium sind nicht ersichtlich, zumal die Vorinstanz die Eingrenzung der sachlichen Zuständigkeit namentlich auch über die materielle Frage des Verschuldens vorgenommen hat. Der angefochtene Entscheid verletzt mithin Bundesrecht. Die Sache geht daher an das kantonale Gericht zurück, damit es materiell auf die Klage vom 28. Dezember 2006 eintrete.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